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14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Знак"/>
    <w:basedOn w:val="Style_1"/>
    <w:link w:val="Style_13_ch"/>
    <w:rPr>
      <w:rFonts w:ascii="Verdana" w:hAnsi="Verdana"/>
      <w:sz w:val="20"/>
    </w:rPr>
  </w:style>
  <w:style w:styleId="Style_13_ch" w:type="character">
    <w:name w:val="Знак"/>
    <w:basedOn w:val="Style_1_ch"/>
    <w:link w:val="Style_13"/>
    <w:rPr>
      <w:rFonts w:ascii="Verdana" w:hAnsi="Verdana"/>
      <w:sz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Обычный1"/>
    <w:link w:val="Style_26_ch"/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2025-01-15T10:53:13Z</dcterms:modified>
</cp:coreProperties>
</file>