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A5" w:rsidRPr="00F021A5" w:rsidRDefault="00F012FE" w:rsidP="00F021A5">
      <w:pPr>
        <w:ind w:firstLine="709"/>
        <w:jc w:val="center"/>
        <w:rPr>
          <w:rFonts w:ascii="XO Thames" w:hAnsi="XO Thames" w:cs="Times New Roman"/>
          <w:b/>
          <w:sz w:val="28"/>
          <w:szCs w:val="28"/>
        </w:rPr>
      </w:pPr>
      <w:r>
        <w:rPr>
          <w:rFonts w:ascii="XO Thames" w:hAnsi="XO Thames" w:cs="Times New Roman"/>
          <w:b/>
          <w:sz w:val="28"/>
          <w:szCs w:val="28"/>
        </w:rPr>
        <w:t>П</w:t>
      </w:r>
      <w:r w:rsidR="00EB4D11">
        <w:rPr>
          <w:rFonts w:ascii="XO Thames" w:hAnsi="XO Thames" w:cs="Times New Roman"/>
          <w:b/>
          <w:sz w:val="28"/>
          <w:szCs w:val="28"/>
        </w:rPr>
        <w:t>роверки</w:t>
      </w:r>
      <w:r>
        <w:rPr>
          <w:rFonts w:ascii="XO Thames" w:hAnsi="XO Thames" w:cs="Times New Roman"/>
          <w:b/>
          <w:sz w:val="28"/>
          <w:szCs w:val="28"/>
        </w:rPr>
        <w:t xml:space="preserve"> 2022-2024</w:t>
      </w:r>
    </w:p>
    <w:p w:rsidR="00F021A5" w:rsidRPr="00F021A5" w:rsidRDefault="00F021A5" w:rsidP="00F021A5">
      <w:pPr>
        <w:ind w:right="-285" w:firstLine="709"/>
        <w:jc w:val="both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t>Д</w:t>
      </w:r>
      <w:r w:rsidRPr="00F021A5">
        <w:rPr>
          <w:rFonts w:ascii="XO Thames" w:hAnsi="XO Thames" w:cs="Times New Roman"/>
          <w:sz w:val="28"/>
          <w:szCs w:val="28"/>
        </w:rPr>
        <w:t>о 2030 года в планы проведения плановых контр</w:t>
      </w:r>
      <w:r>
        <w:rPr>
          <w:rFonts w:ascii="XO Thames" w:hAnsi="XO Thames" w:cs="Times New Roman"/>
          <w:sz w:val="28"/>
          <w:szCs w:val="28"/>
        </w:rPr>
        <w:t>ольных (надзорных) мероприятий</w:t>
      </w:r>
      <w:r w:rsidRPr="00F021A5">
        <w:rPr>
          <w:rFonts w:ascii="XO Thames" w:hAnsi="XO Thames" w:cs="Times New Roman"/>
          <w:sz w:val="28"/>
          <w:szCs w:val="28"/>
        </w:rPr>
        <w:t xml:space="preserve">, плановые проверки </w:t>
      </w:r>
      <w:r>
        <w:rPr>
          <w:rFonts w:ascii="XO Thames" w:hAnsi="XO Thames" w:cs="Times New Roman"/>
          <w:sz w:val="28"/>
          <w:szCs w:val="28"/>
        </w:rPr>
        <w:t xml:space="preserve">проводятся </w:t>
      </w:r>
      <w:r w:rsidRPr="00F021A5">
        <w:rPr>
          <w:rFonts w:ascii="XO Thames" w:hAnsi="XO Thames" w:cs="Times New Roman"/>
          <w:sz w:val="28"/>
          <w:szCs w:val="28"/>
        </w:rPr>
        <w:t>только в отношении объектов контроля, отнесенных к категориям чрезвыч</w:t>
      </w:r>
      <w:r>
        <w:rPr>
          <w:rFonts w:ascii="XO Thames" w:hAnsi="XO Thames" w:cs="Times New Roman"/>
          <w:sz w:val="28"/>
          <w:szCs w:val="28"/>
        </w:rPr>
        <w:t>айно высокого и высокого риска.</w:t>
      </w: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>Объект контроля может быть отнес</w:t>
      </w:r>
      <w:r>
        <w:rPr>
          <w:rFonts w:ascii="XO Thames" w:hAnsi="XO Thames" w:cs="Times New Roman"/>
          <w:sz w:val="28"/>
          <w:szCs w:val="28"/>
        </w:rPr>
        <w:t>ен к следующим категориям риска:</w:t>
      </w: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b/>
          <w:sz w:val="28"/>
          <w:szCs w:val="28"/>
        </w:rPr>
      </w:pPr>
      <w:r w:rsidRPr="00705DF7">
        <w:rPr>
          <w:rFonts w:ascii="XO Thames" w:hAnsi="XO Thames" w:cs="Times New Roman"/>
          <w:b/>
          <w:sz w:val="28"/>
          <w:szCs w:val="28"/>
        </w:rPr>
        <w:t xml:space="preserve">а) чрезвычайно высокий риск - в случае наличия 4 критериев риска; </w:t>
      </w: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 xml:space="preserve">б) значительный риск - в случае наличия от 2 до 3 критериев риска; </w:t>
      </w: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 xml:space="preserve">в) умеренный риск - в случае наличия 1 критерия риска; </w:t>
      </w: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 xml:space="preserve">г) низкий риск - в случае отсутствия критериев риска. </w:t>
      </w:r>
    </w:p>
    <w:p w:rsidR="00AA4E0C" w:rsidRDefault="00AA4E0C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</w:p>
    <w:p w:rsidR="00AA4E0C" w:rsidRPr="00705DF7" w:rsidRDefault="00705DF7" w:rsidP="00AA4E0C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 xml:space="preserve">Критериями отнесения такого объекта контроля, как деятельность контролируемых лиц в сфере охотничьего хозяйства, к категориям риска являются: </w:t>
      </w: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 xml:space="preserve">а) наличие вступивших в законную силу в течение 3 лет, предшествующих проведению контрольного (надзорного) мероприятия, постановлений о назначении административного наказания лицу, деятельность которого является объектом контроля, за совершение административных правонарушений в области охоты и сохранения охотничьих ресурсов; </w:t>
      </w:r>
    </w:p>
    <w:p w:rsid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 xml:space="preserve">б) наличие в отношении юридического лица или индивидуального предпринимателя вступившего в силу решения суда о приостановлении деятельности. </w:t>
      </w:r>
    </w:p>
    <w:p w:rsidR="00AA4E0C" w:rsidRPr="00705DF7" w:rsidRDefault="00AA4E0C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 xml:space="preserve">Критериями отнесения такого объекта контроля, как охотничье угодье или иная территория, на которых осуществляется деятельность контролируемых лиц в сфере охотничьего хозяйства, к категориям риска являются: </w:t>
      </w: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 xml:space="preserve">а) наличие на территории объекта контроля видов охотничьих ресурсов, занесенных в Красную книгу Российской Федерации и (или) красные книги субъектов Российской Федерации; </w:t>
      </w: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 xml:space="preserve">б) расположение охотничьего угодья или большей части площади его территории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которыми осуществляется охота в целях обеспечения ведения традиционного образа жизни и осуществления традиционной хозяйственной деятельности; </w:t>
      </w: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 xml:space="preserve">в) наличие зон охраны охотничьих ресурсов; </w:t>
      </w: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 xml:space="preserve">г) снижение численности охотничьих ресурсов на территории объекта контроля более чем на 40 процентов в течение 2 лет согласно данным государственного мониторинга охотничьих ресурсов и среды их обитания, формируемым в сроки, определенные порядком осуществления государственного мониторинга охотничьих ресурсов и среды их обитания и применения его данных, утвержденным в соответствии со </w:t>
      </w:r>
      <w:hyperlink r:id="rId4" w:history="1">
        <w:r w:rsidRPr="00705DF7">
          <w:rPr>
            <w:rStyle w:val="a4"/>
            <w:rFonts w:ascii="XO Thames" w:eastAsiaTheme="minorHAnsi" w:hAnsi="XO Thames"/>
            <w:color w:val="000000" w:themeColor="text1"/>
            <w:sz w:val="28"/>
            <w:szCs w:val="28"/>
            <w:u w:val="none"/>
            <w:lang w:eastAsia="en-US"/>
          </w:rPr>
          <w:t>статьей 36</w:t>
        </w:r>
      </w:hyperlink>
      <w:r w:rsidRPr="00705DF7">
        <w:rPr>
          <w:rFonts w:ascii="XO Thames" w:hAnsi="XO Thames" w:cs="Times New Roman"/>
          <w:color w:val="000000" w:themeColor="text1"/>
          <w:sz w:val="28"/>
          <w:szCs w:val="28"/>
        </w:rPr>
        <w:t xml:space="preserve"> </w:t>
      </w:r>
      <w:r w:rsidRPr="00705DF7">
        <w:rPr>
          <w:rFonts w:ascii="XO Thames" w:hAnsi="XO Thames" w:cs="Times New Roman"/>
          <w:sz w:val="28"/>
          <w:szCs w:val="28"/>
        </w:rPr>
        <w:t xml:space="preserve">Федерального закона об охоте; </w:t>
      </w:r>
    </w:p>
    <w:p w:rsidR="00705DF7" w:rsidRPr="00AA4E0C" w:rsidRDefault="00705DF7" w:rsidP="00AA4E0C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>д) осуществление деятельности в сфере охотничьего хозяйства на особо охраняемой приро</w:t>
      </w:r>
      <w:bookmarkStart w:id="0" w:name="_GoBack"/>
      <w:bookmarkEnd w:id="0"/>
      <w:r w:rsidRPr="00705DF7">
        <w:rPr>
          <w:rFonts w:ascii="XO Thames" w:hAnsi="XO Thames" w:cs="Times New Roman"/>
          <w:sz w:val="28"/>
          <w:szCs w:val="28"/>
        </w:rPr>
        <w:t xml:space="preserve">дной территории. </w:t>
      </w:r>
    </w:p>
    <w:p w:rsidR="00705DF7" w:rsidRPr="00705DF7" w:rsidRDefault="00705DF7" w:rsidP="00705DF7">
      <w:pPr>
        <w:shd w:val="clear" w:color="auto" w:fill="FFFFFF"/>
        <w:spacing w:after="0" w:line="240" w:lineRule="auto"/>
        <w:ind w:right="-285"/>
        <w:jc w:val="center"/>
        <w:rPr>
          <w:rFonts w:ascii="XO Thames" w:eastAsia="Times New Roman" w:hAnsi="XO Thames" w:cs="Arial"/>
          <w:b/>
          <w:sz w:val="28"/>
          <w:szCs w:val="28"/>
          <w:lang w:eastAsia="ru-RU"/>
        </w:rPr>
      </w:pPr>
      <w:r w:rsidRPr="00705DF7">
        <w:rPr>
          <w:rFonts w:ascii="XO Thames" w:eastAsia="Times New Roman" w:hAnsi="XO Thames" w:cs="Arial"/>
          <w:b/>
          <w:sz w:val="28"/>
          <w:szCs w:val="28"/>
          <w:lang w:eastAsia="ru-RU"/>
        </w:rPr>
        <w:lastRenderedPageBreak/>
        <w:t>Перечень индикаторов риска нарушения обязательных требований по федеральному государственному охотничьему контролю (надзору)</w:t>
      </w:r>
    </w:p>
    <w:p w:rsidR="00705DF7" w:rsidRDefault="00705DF7" w:rsidP="00F021A5">
      <w:pPr>
        <w:shd w:val="clear" w:color="auto" w:fill="FFFFFF"/>
        <w:spacing w:after="0" w:line="240" w:lineRule="auto"/>
        <w:ind w:right="-285"/>
        <w:jc w:val="both"/>
        <w:rPr>
          <w:rFonts w:ascii="XO Thames" w:eastAsia="Times New Roman" w:hAnsi="XO Thames" w:cs="Arial"/>
          <w:sz w:val="28"/>
          <w:szCs w:val="28"/>
          <w:lang w:eastAsia="ru-RU"/>
        </w:rPr>
      </w:pP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>1. Сокращение в границах закрепленного охотничьего угодья за три года, предшествующих году представления юридическим лицом или индивидуальным предпринимателем в соответствии с частью 9 статьи 36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(далее - Федеральный закон N 209-ФЗ) данных о численности охотничьих ресурсов и объемах их изъятия, более чем на 50 процентов численности вида охотничьих ресурсов, в отношении которого в соответствии с Федеральным законом N 209-ФЗ устанавливаются лимит добычи и квота его добычи, в случае отсутствия у контрольного (надзорного) органа информации о распространении болезней, об опасных природных либо техногенных воздействиях, стихийных или иных бедствиях, которые повлекли указанное сокращение численности вида охотничьих ресурсов.</w:t>
      </w:r>
    </w:p>
    <w:p w:rsidR="00705DF7" w:rsidRPr="00705DF7" w:rsidRDefault="00705DF7" w:rsidP="00705DF7">
      <w:pPr>
        <w:spacing w:after="0" w:line="240" w:lineRule="auto"/>
        <w:contextualSpacing/>
        <w:jc w:val="both"/>
        <w:rPr>
          <w:rFonts w:ascii="XO Thames" w:hAnsi="XO Thames" w:cs="Times New Roman"/>
          <w:sz w:val="28"/>
          <w:szCs w:val="28"/>
        </w:rPr>
      </w:pPr>
    </w:p>
    <w:p w:rsidR="00705DF7" w:rsidRP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>2. Сокращение в границах закрепленного охотничьего угодья за три года, предшествующих году представления юридическим лицом или индивидуальным предпринимателем в соответствии с частью 9 статьи 36 Федерального закона N 209-ФЗ данных о численности охотничьих ресурсов и объемах их изъятия, более чем на 70 процентов численности глухаря, тетерева, рябчика, фазана, бобра или сурка, если такой вид охотничьих ресурсов указан в охотхозяйственном соглашении, в случае отсутствия у контрольного (надзорного) органа информации о распространении болезней, об опасных природных либо техногенных воздействиях, стихийных или иных бедствиях, которые повлекли указанное сокращение численности такого вида охотничьих ресурсов.</w:t>
      </w:r>
    </w:p>
    <w:p w:rsidR="00705DF7" w:rsidRDefault="00705DF7" w:rsidP="00705DF7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</w:p>
    <w:p w:rsidR="00AA4E0C" w:rsidRDefault="00705DF7" w:rsidP="00AA4E0C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sz w:val="28"/>
          <w:szCs w:val="28"/>
        </w:rPr>
      </w:pPr>
      <w:r w:rsidRPr="00705DF7">
        <w:rPr>
          <w:rFonts w:ascii="XO Thames" w:hAnsi="XO Thames" w:cs="Times New Roman"/>
          <w:sz w:val="28"/>
          <w:szCs w:val="28"/>
        </w:rPr>
        <w:t>3. Отсутствие у юридического лица или индивидуального предпринимателя, заключившего охотхозяйственное соглашение в соответствии со статьей 27 Федерального закона N 209-ФЗ (далее - охотпользователь), работников, которым удостоверения производственных охотничьих инспекторов выданы в течение одного года с даты заключения такого охотхозяйственного соглашения в отношении охотничьего угодья, не имеющего общей границы с расположенным в ином субъекте Российской Федерации охотничьим угодьем, используемым охотпользователем на основании охотхозяйственного соглашения, которое действует не менее одного года, при условии, что действующее удостоверение производственного охотничьего инспектора имеется не более чем у одного работника охотпользователя.</w:t>
      </w:r>
    </w:p>
    <w:p w:rsidR="00AA4E0C" w:rsidRPr="00AA4E0C" w:rsidRDefault="00AA4E0C" w:rsidP="00AA4E0C">
      <w:pPr>
        <w:spacing w:after="0" w:line="240" w:lineRule="auto"/>
        <w:ind w:firstLine="709"/>
        <w:contextualSpacing/>
        <w:jc w:val="both"/>
        <w:rPr>
          <w:rFonts w:ascii="XO Thames" w:hAnsi="XO Thames" w:cs="Times New Roman"/>
          <w:b/>
          <w:sz w:val="28"/>
          <w:szCs w:val="28"/>
        </w:rPr>
      </w:pPr>
      <w:r w:rsidRPr="00AA4E0C">
        <w:rPr>
          <w:rFonts w:ascii="XO Thames" w:hAnsi="XO Thames" w:cs="Times New Roman"/>
          <w:b/>
          <w:sz w:val="28"/>
          <w:szCs w:val="28"/>
        </w:rPr>
        <w:t>Все юридические лица и индивидуальные предприниматели, осуществляющие пользование охотничьими ресурсами на территории Вологодской области, имеют категорию умеренного или значительного риска. Таким образом, проведение плановых контрольно надзорных мероприятий в отношении охотпользователей не предусмотрено.</w:t>
      </w:r>
    </w:p>
    <w:sectPr w:rsidR="00AA4E0C" w:rsidRPr="00AA4E0C" w:rsidSect="00F012FE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891"/>
    <w:rsid w:val="000D4B74"/>
    <w:rsid w:val="00137158"/>
    <w:rsid w:val="001D0281"/>
    <w:rsid w:val="00213891"/>
    <w:rsid w:val="0024531B"/>
    <w:rsid w:val="002A0920"/>
    <w:rsid w:val="00385A9F"/>
    <w:rsid w:val="003A64CE"/>
    <w:rsid w:val="004269BE"/>
    <w:rsid w:val="00474334"/>
    <w:rsid w:val="004D3F1E"/>
    <w:rsid w:val="00686D3D"/>
    <w:rsid w:val="00705DF7"/>
    <w:rsid w:val="007A3D62"/>
    <w:rsid w:val="00840CD0"/>
    <w:rsid w:val="008E538E"/>
    <w:rsid w:val="009D0A30"/>
    <w:rsid w:val="00A30DB5"/>
    <w:rsid w:val="00A74D7F"/>
    <w:rsid w:val="00A80233"/>
    <w:rsid w:val="00A92A7E"/>
    <w:rsid w:val="00AA4E0C"/>
    <w:rsid w:val="00BB30E9"/>
    <w:rsid w:val="00BB59AD"/>
    <w:rsid w:val="00D6233F"/>
    <w:rsid w:val="00DC671E"/>
    <w:rsid w:val="00EB4D11"/>
    <w:rsid w:val="00EC2E2E"/>
    <w:rsid w:val="00EF0251"/>
    <w:rsid w:val="00F012FE"/>
    <w:rsid w:val="00F021A5"/>
    <w:rsid w:val="00F46DCF"/>
    <w:rsid w:val="00F5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Гиперссылка3"/>
    <w:link w:val="a4"/>
    <w:rsid w:val="0024531B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3"/>
    <w:rsid w:val="0024531B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9D0A3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F0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1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1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15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6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751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4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4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56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9638&amp;dst=100382&amp;field=134&amp;date=06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koryakovskiy</dc:creator>
  <cp:lastModifiedBy>smirnovsa</cp:lastModifiedBy>
  <cp:revision>3</cp:revision>
  <dcterms:created xsi:type="dcterms:W3CDTF">2024-07-29T10:37:00Z</dcterms:created>
  <dcterms:modified xsi:type="dcterms:W3CDTF">2024-07-29T10:38:00Z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 №">
    <vt:lpwstr>e2JmYzdiYWIwLTAxOWEtNGE4Yy04MjQ1LTNmOTg5M2Q1NzIzYzpkNmY0NTI3Ni03NjgxLTQ3ZWYtYmI3Yi01N2ViMDFlYzcxYTN9</vt:lpwstr>
  </property>
  <property fmtid="{D5CDD505-2E9C-101B-9397-08002B2CF9AE}" pid="3" name="TPL_От">
    <vt:lpwstr>e2JmYzdiYWIwLTAxOWEtNGE4Yy04MjQ1LTNmOTg5M2Q1NzIzYzoxZjkwYTI0ZS1kMWZjLTRhNTEtOTM3Mi0yYTE4ZDJkYTkwMjl9</vt:lpwstr>
  </property>
</Properties>
</file>